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D9BEA7">
      <w:pPr>
        <w:snapToGrid/>
        <w:spacing w:beforeAutospacing="0" w:after="60" w:afterAutospacing="0" w:line="240" w:lineRule="auto"/>
        <w:ind w:left="0" w:leftChars="0" w:right="0" w:rightChars="0" w:firstLine="0" w:firstLineChars="0"/>
        <w:jc w:val="center"/>
        <w:rPr>
          <w:rFonts w:hint="eastAsia" w:ascii="黑体" w:eastAsia="黑体"/>
          <w:b w:val="0"/>
          <w:sz w:val="40"/>
          <w:szCs w:val="40"/>
          <w:lang w:val="en-US" w:eastAsia="zh-CN"/>
        </w:rPr>
      </w:pPr>
      <w:r>
        <w:rPr>
          <w:rFonts w:hint="eastAsia" w:ascii="黑体" w:eastAsia="黑体"/>
          <w:b w:val="0"/>
          <w:sz w:val="40"/>
          <w:szCs w:val="40"/>
          <w:lang w:val="en-US" w:eastAsia="zh-CN"/>
        </w:rPr>
        <w:t>广东华质认证有限公司</w:t>
      </w:r>
    </w:p>
    <w:p w14:paraId="473ADFA9">
      <w:pPr>
        <w:snapToGrid/>
        <w:spacing w:beforeAutospacing="0" w:after="60" w:afterAutospacing="0" w:line="240" w:lineRule="auto"/>
        <w:ind w:left="0" w:leftChars="0" w:right="0" w:rightChars="0" w:firstLine="0" w:firstLineChars="0"/>
        <w:jc w:val="center"/>
        <w:rPr>
          <w:rFonts w:hint="default" w:ascii="黑体" w:eastAsia="黑体"/>
          <w:b w:val="0"/>
          <w:sz w:val="40"/>
          <w:szCs w:val="40"/>
          <w:lang w:val="en-US" w:eastAsia="zh-CN"/>
        </w:rPr>
      </w:pPr>
      <w:bookmarkStart w:id="0" w:name="_GoBack"/>
      <w:r>
        <w:rPr>
          <w:rFonts w:hint="eastAsia" w:ascii="黑体" w:eastAsia="黑体"/>
          <w:b w:val="0"/>
          <w:sz w:val="40"/>
          <w:szCs w:val="40"/>
          <w:lang w:val="en-US" w:eastAsia="zh-CN"/>
        </w:rPr>
        <w:t>认证收费标准</w:t>
      </w:r>
    </w:p>
    <w:bookmarkEnd w:id="0"/>
    <w:p w14:paraId="6B69FBE3">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1. 目的与使用范围</w:t>
      </w:r>
    </w:p>
    <w:p w14:paraId="5BF8E7D9">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为加强对认证组织认证收费的管理，规范认证收费行为，保护认证双方的利益，促进认证工作的发展，特制订本规则。</w:t>
      </w:r>
    </w:p>
    <w:p w14:paraId="37C5E7BB">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本规则适用于方圆标志认证集团所开展的管理体系认证(信息技术服务管理体系和信息安全管理体系除外)服务收费。</w:t>
      </w:r>
    </w:p>
    <w:p w14:paraId="580230A6">
      <w:pPr>
        <w:snapToGrid/>
        <w:spacing w:beforeAutospacing="0" w:afterAutospacing="0" w:line="560" w:lineRule="exact"/>
        <w:ind w:left="0" w:leftChars="0" w:right="0" w:rightChars="0" w:firstLine="482" w:firstLineChars="0"/>
        <w:jc w:val="left"/>
        <w:rPr>
          <w:rFonts w:hint="eastAsia" w:ascii="仿宋" w:eastAsia="仿宋"/>
          <w:sz w:val="24"/>
        </w:rPr>
      </w:pPr>
    </w:p>
    <w:p w14:paraId="1B05E0B0">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2. 基本原则</w:t>
      </w:r>
    </w:p>
    <w:p w14:paraId="0920E0C8">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收费项目和标准按照国家有关主管部门的规定制订。</w:t>
      </w:r>
    </w:p>
    <w:p w14:paraId="698D61EA">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认证审核的工作量（人日数）根据申请认证组织的规模、认证领域数量和专业特性等按国际准则及国家主管部门有关要求确定。</w:t>
      </w:r>
    </w:p>
    <w:p w14:paraId="7CD43E79">
      <w:pPr>
        <w:snapToGrid/>
        <w:spacing w:beforeAutospacing="0" w:afterAutospacing="0" w:line="560" w:lineRule="exact"/>
        <w:ind w:left="0" w:leftChars="0" w:right="0" w:rightChars="0" w:firstLine="482" w:firstLineChars="0"/>
        <w:jc w:val="left"/>
        <w:rPr>
          <w:rFonts w:hint="eastAsia" w:ascii="仿宋" w:eastAsia="仿宋"/>
          <w:sz w:val="24"/>
        </w:rPr>
      </w:pPr>
    </w:p>
    <w:p w14:paraId="78165F61">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3. 收费项目与标准</w:t>
      </w:r>
    </w:p>
    <w:p w14:paraId="5F81CE30">
      <w:pPr>
        <w:snapToGrid/>
        <w:spacing w:before="200" w:beforeAutospacing="0" w:after="100" w:afterAutospacing="0" w:line="240" w:lineRule="auto"/>
        <w:ind w:left="0" w:leftChars="0" w:right="0" w:rightChars="0" w:firstLine="0" w:firstLineChars="0"/>
        <w:jc w:val="left"/>
        <w:outlineLvl w:val="1"/>
        <w:rPr>
          <w:rFonts w:hint="eastAsia" w:ascii="楷体" w:eastAsia="楷体"/>
          <w:b w:val="0"/>
          <w:sz w:val="32"/>
        </w:rPr>
      </w:pPr>
      <w:r>
        <w:rPr>
          <w:rFonts w:hint="eastAsia" w:ascii="楷体" w:eastAsia="楷体"/>
          <w:b w:val="0"/>
          <w:sz w:val="32"/>
        </w:rPr>
        <w:t>3.1  认证收费项目</w:t>
      </w:r>
    </w:p>
    <w:p w14:paraId="5D789A62">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a) 申请费：初次认证、再认证、增加认证领域、变更认证范围等的申请费用；</w:t>
      </w:r>
    </w:p>
    <w:p w14:paraId="021556C9">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b) 审核费：初审、监督、再认证、特殊审核等审核活动所发生的费用；</w:t>
      </w:r>
    </w:p>
    <w:p w14:paraId="6BA96888">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c) 批准与注册费（含证书费）：初次认证、再认证、认证变更等的批准与注册费用，按不同认证领域分别收取；</w:t>
      </w:r>
    </w:p>
    <w:p w14:paraId="16764BCA">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d) 年金（含标志使用费）、更换证书费</w:t>
      </w:r>
    </w:p>
    <w:p w14:paraId="6AB4025B">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4. 收费方法</w:t>
      </w:r>
    </w:p>
    <w:p w14:paraId="64D6953B">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a) 申请人向YBTC提出认证申请时支付申请费。审核前支付审核费。颁发认证证书前支付批准注册费。</w:t>
      </w:r>
    </w:p>
    <w:p w14:paraId="69EA0386">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b) 获证组织在交付监督审核费的同时支付年金。</w:t>
      </w:r>
    </w:p>
    <w:p w14:paraId="51F9B556">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c) 更换证书费在领取新证书前支付。</w:t>
      </w:r>
    </w:p>
    <w:p w14:paraId="7DA0A0F6">
      <w:pPr>
        <w:snapToGrid/>
        <w:spacing w:beforeAutospacing="0" w:afterAutospacing="0" w:line="560" w:lineRule="exact"/>
        <w:ind w:left="0" w:leftChars="0" w:right="0" w:rightChars="0" w:firstLine="482" w:firstLineChars="0"/>
        <w:jc w:val="left"/>
        <w:rPr>
          <w:rFonts w:hint="eastAsia" w:ascii="仿宋" w:eastAsia="仿宋"/>
          <w:sz w:val="24"/>
        </w:rPr>
      </w:pPr>
    </w:p>
    <w:p w14:paraId="6DF260C4">
      <w:pPr>
        <w:snapToGrid/>
        <w:spacing w:before="200" w:beforeAutospacing="0" w:after="100" w:afterAutospacing="0" w:line="240" w:lineRule="auto"/>
        <w:ind w:left="0" w:leftChars="0" w:right="0" w:rightChars="0" w:firstLine="0" w:firstLineChars="0"/>
        <w:jc w:val="left"/>
        <w:outlineLvl w:val="0"/>
        <w:rPr>
          <w:rFonts w:hint="eastAsia" w:ascii="黑体" w:eastAsia="黑体"/>
          <w:b w:val="0"/>
          <w:sz w:val="32"/>
        </w:rPr>
      </w:pPr>
      <w:r>
        <w:rPr>
          <w:rFonts w:hint="eastAsia" w:ascii="黑体" w:eastAsia="黑体"/>
          <w:b w:val="0"/>
          <w:sz w:val="32"/>
        </w:rPr>
        <w:t>5. 审核人日数核算方法</w:t>
      </w:r>
    </w:p>
    <w:p w14:paraId="29E27193">
      <w:pPr>
        <w:snapToGrid/>
        <w:spacing w:before="200" w:beforeAutospacing="0" w:after="100" w:afterAutospacing="0" w:line="240" w:lineRule="auto"/>
        <w:ind w:left="0" w:leftChars="0" w:right="0" w:rightChars="0" w:firstLine="0" w:firstLineChars="0"/>
        <w:jc w:val="left"/>
        <w:outlineLvl w:val="1"/>
        <w:rPr>
          <w:rFonts w:hint="eastAsia" w:ascii="楷体" w:eastAsia="楷体"/>
          <w:b w:val="0"/>
          <w:sz w:val="32"/>
        </w:rPr>
      </w:pPr>
      <w:r>
        <w:rPr>
          <w:rFonts w:hint="eastAsia" w:ascii="楷体" w:eastAsia="楷体"/>
          <w:b w:val="0"/>
          <w:sz w:val="32"/>
        </w:rPr>
        <w:t>5.1 单一领域管理体系认证</w:t>
      </w:r>
    </w:p>
    <w:p w14:paraId="001A8A20">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管理体系审核人日数与审核范围内的有效人数、审核类型（初审、监督、再认证、特殊审核等）、业务范围类型和场所数量与类型等因素相关。人日数包括文件评审、审核准备、现场审核和最终报告等时间；不包括路途时间。</w:t>
      </w:r>
    </w:p>
    <w:p w14:paraId="308447D5">
      <w:pPr>
        <w:snapToGrid/>
        <w:spacing w:before="200" w:beforeAutospacing="0" w:after="100" w:afterAutospacing="0" w:line="240" w:lineRule="auto"/>
        <w:ind w:left="0" w:leftChars="0" w:right="0" w:rightChars="0" w:firstLine="0" w:firstLineChars="0"/>
        <w:jc w:val="left"/>
        <w:outlineLvl w:val="1"/>
        <w:rPr>
          <w:rFonts w:hint="eastAsia" w:ascii="楷体" w:eastAsia="楷体"/>
          <w:b w:val="0"/>
          <w:sz w:val="32"/>
        </w:rPr>
      </w:pPr>
      <w:r>
        <w:rPr>
          <w:rFonts w:hint="eastAsia" w:ascii="楷体" w:eastAsia="楷体"/>
          <w:b w:val="0"/>
          <w:sz w:val="32"/>
        </w:rPr>
        <w:t>5.2 多领域管理体系结合认证</w:t>
      </w:r>
    </w:p>
    <w:p w14:paraId="5DB7469E">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对于多领域管理体系结合认证，审核人日数可在单一领域管理体系审核人日数之和的基础上适当减少，通常考虑管理体系领域数量并按实际发生的审核人日数计算。</w:t>
      </w:r>
    </w:p>
    <w:p w14:paraId="27C0CB57">
      <w:pPr>
        <w:snapToGrid/>
        <w:spacing w:before="200" w:beforeAutospacing="0" w:after="100" w:afterAutospacing="0" w:line="240" w:lineRule="auto"/>
        <w:ind w:left="0" w:leftChars="0" w:right="0" w:rightChars="0" w:firstLine="0" w:firstLineChars="0"/>
        <w:jc w:val="left"/>
        <w:outlineLvl w:val="1"/>
        <w:rPr>
          <w:rFonts w:hint="eastAsia" w:ascii="楷体" w:eastAsia="楷体"/>
          <w:b w:val="0"/>
          <w:sz w:val="32"/>
        </w:rPr>
      </w:pPr>
      <w:r>
        <w:rPr>
          <w:rFonts w:hint="eastAsia" w:ascii="楷体" w:eastAsia="楷体"/>
          <w:b w:val="0"/>
          <w:sz w:val="32"/>
        </w:rPr>
        <w:t>5.3 增加认证领域审核</w:t>
      </w:r>
    </w:p>
    <w:p w14:paraId="30BC5A1A">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获证组织已经获得YBTC某领域认证以后提出其它认证领域的申请，应按该领域的审核人日数计算费用。</w:t>
      </w:r>
    </w:p>
    <w:p w14:paraId="1F0890D2">
      <w:pPr>
        <w:snapToGrid/>
        <w:spacing w:before="200" w:beforeAutospacing="0" w:after="100" w:afterAutospacing="0" w:line="240" w:lineRule="auto"/>
        <w:ind w:left="0" w:leftChars="0" w:right="0" w:rightChars="0" w:firstLine="0" w:firstLineChars="0"/>
        <w:jc w:val="left"/>
        <w:outlineLvl w:val="1"/>
        <w:rPr>
          <w:rFonts w:hint="eastAsia" w:ascii="楷体" w:eastAsia="楷体"/>
          <w:b w:val="0"/>
          <w:sz w:val="32"/>
        </w:rPr>
      </w:pPr>
      <w:r>
        <w:rPr>
          <w:rFonts w:hint="eastAsia" w:ascii="楷体" w:eastAsia="楷体"/>
          <w:b w:val="0"/>
          <w:sz w:val="32"/>
        </w:rPr>
        <w:t>5.4 扩大认证业务范围审核</w:t>
      </w:r>
    </w:p>
    <w:p w14:paraId="4AF2EE81">
      <w:pPr>
        <w:snapToGrid/>
        <w:spacing w:beforeAutospacing="0" w:afterAutospacing="0" w:line="560" w:lineRule="exact"/>
        <w:ind w:left="0" w:leftChars="0" w:right="0" w:rightChars="0" w:firstLine="482" w:firstLineChars="0"/>
        <w:jc w:val="left"/>
        <w:rPr>
          <w:rFonts w:hint="eastAsia" w:ascii="仿宋" w:eastAsia="仿宋"/>
          <w:sz w:val="24"/>
        </w:rPr>
      </w:pPr>
      <w:r>
        <w:rPr>
          <w:rFonts w:hint="eastAsia" w:ascii="仿宋" w:eastAsia="仿宋"/>
          <w:sz w:val="24"/>
        </w:rPr>
        <w:t>获证组织在已取得的管理体系认证的领域扩大范围，根据实际发生的审核工作量计算。</w:t>
      </w:r>
    </w:p>
    <w:p w14:paraId="00F4FE02">
      <w:pPr>
        <w:snapToGrid/>
        <w:spacing w:beforeAutospacing="0" w:afterAutospacing="0" w:line="560" w:lineRule="exact"/>
        <w:ind w:left="0" w:leftChars="0" w:right="0" w:rightChars="0" w:firstLine="482" w:firstLineChars="0"/>
        <w:jc w:val="left"/>
        <w:rPr>
          <w:rFonts w:hint="eastAsia" w:ascii="仿宋" w:eastAsia="仿宋"/>
          <w:sz w:val="24"/>
          <w:lang w:val="en-US" w:eastAsia="zh-CN"/>
        </w:rPr>
      </w:pPr>
      <w:r>
        <w:rPr>
          <w:rFonts w:hint="eastAsia" w:ascii="仿宋" w:eastAsia="仿宋"/>
          <w:sz w:val="24"/>
          <w:lang w:val="en-US" w:eastAsia="zh-CN"/>
        </w:rPr>
        <w:t>附件1：收费标准</w:t>
      </w:r>
    </w:p>
    <w:tbl>
      <w:tblPr>
        <w:tblStyle w:val="6"/>
        <w:tblW w:w="6175" w:type="pct"/>
        <w:tblInd w:w="-9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47"/>
        <w:gridCol w:w="1440"/>
        <w:gridCol w:w="1887"/>
        <w:gridCol w:w="2512"/>
        <w:gridCol w:w="3239"/>
      </w:tblGrid>
      <w:tr w14:paraId="579D5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noWrap w:val="0"/>
            <w:vAlign w:val="center"/>
          </w:tcPr>
          <w:p w14:paraId="4144239A">
            <w:pPr>
              <w:jc w:val="center"/>
              <w:rPr>
                <w:rFonts w:hint="eastAsia" w:eastAsia="宋体"/>
                <w:vertAlign w:val="baseline"/>
                <w:lang w:val="en-US" w:eastAsia="zh-CN"/>
              </w:rPr>
            </w:pPr>
            <w:r>
              <w:rPr>
                <w:rFonts w:hint="eastAsia"/>
                <w:vertAlign w:val="baseline"/>
                <w:lang w:val="en-US" w:eastAsia="zh-CN"/>
              </w:rPr>
              <w:t>序号</w:t>
            </w:r>
          </w:p>
        </w:tc>
        <w:tc>
          <w:tcPr>
            <w:tcW w:w="684" w:type="pct"/>
            <w:noWrap w:val="0"/>
            <w:vAlign w:val="center"/>
          </w:tcPr>
          <w:p w14:paraId="4B9E748E">
            <w:pPr>
              <w:jc w:val="center"/>
              <w:rPr>
                <w:rFonts w:hint="default" w:eastAsia="宋体"/>
                <w:vertAlign w:val="baseline"/>
                <w:lang w:val="en-US" w:eastAsia="zh-CN"/>
              </w:rPr>
            </w:pPr>
            <w:r>
              <w:rPr>
                <w:rFonts w:hint="eastAsia"/>
                <w:vertAlign w:val="baseline"/>
                <w:lang w:val="en-US" w:eastAsia="zh-CN"/>
              </w:rPr>
              <w:t>收费项目</w:t>
            </w:r>
          </w:p>
        </w:tc>
        <w:tc>
          <w:tcPr>
            <w:tcW w:w="896" w:type="pct"/>
            <w:noWrap w:val="0"/>
            <w:vAlign w:val="center"/>
          </w:tcPr>
          <w:p w14:paraId="11A9810E">
            <w:pPr>
              <w:jc w:val="center"/>
              <w:rPr>
                <w:rFonts w:hint="default" w:eastAsia="宋体"/>
                <w:vertAlign w:val="baseline"/>
                <w:lang w:val="en-US" w:eastAsia="zh-CN"/>
              </w:rPr>
            </w:pPr>
            <w:r>
              <w:rPr>
                <w:rFonts w:hint="eastAsia"/>
                <w:vertAlign w:val="baseline"/>
                <w:lang w:val="en-US" w:eastAsia="zh-CN"/>
              </w:rPr>
              <w:t>收费时机</w:t>
            </w:r>
          </w:p>
        </w:tc>
        <w:tc>
          <w:tcPr>
            <w:tcW w:w="1193" w:type="pct"/>
            <w:noWrap w:val="0"/>
            <w:vAlign w:val="center"/>
          </w:tcPr>
          <w:p w14:paraId="1236ABCC">
            <w:pPr>
              <w:jc w:val="center"/>
              <w:rPr>
                <w:rFonts w:ascii="微软雅黑" w:hAnsi="微软雅黑" w:eastAsia="微软雅黑" w:cs="微软雅黑"/>
                <w:i w:val="0"/>
                <w:iCs w:val="0"/>
                <w:caps w:val="0"/>
                <w:color w:val="333333"/>
                <w:spacing w:val="0"/>
                <w:sz w:val="16"/>
                <w:szCs w:val="16"/>
                <w:shd w:val="clear" w:color="auto" w:fill="F9F9F9"/>
              </w:rPr>
            </w:pPr>
            <w:r>
              <w:rPr>
                <w:rFonts w:ascii="微软雅黑" w:hAnsi="微软雅黑" w:eastAsia="微软雅黑" w:cs="微软雅黑"/>
                <w:i w:val="0"/>
                <w:iCs w:val="0"/>
                <w:caps w:val="0"/>
                <w:color w:val="333333"/>
                <w:spacing w:val="0"/>
                <w:sz w:val="16"/>
                <w:szCs w:val="16"/>
                <w:shd w:val="clear" w:color="auto" w:fill="F9F9F9"/>
              </w:rPr>
              <w:t>收费标准</w:t>
            </w:r>
          </w:p>
          <w:p w14:paraId="5B18EB6B">
            <w:pPr>
              <w:jc w:val="center"/>
              <w:rPr>
                <w:rFonts w:ascii="微软雅黑" w:hAnsi="微软雅黑" w:eastAsia="微软雅黑" w:cs="微软雅黑"/>
                <w:i w:val="0"/>
                <w:iCs w:val="0"/>
                <w:caps w:val="0"/>
                <w:color w:val="333333"/>
                <w:spacing w:val="0"/>
                <w:sz w:val="16"/>
                <w:szCs w:val="16"/>
                <w:shd w:val="clear" w:color="auto" w:fill="F9F9F9"/>
              </w:rPr>
            </w:pPr>
            <w:r>
              <w:rPr>
                <w:rFonts w:ascii="微软雅黑" w:hAnsi="微软雅黑" w:eastAsia="微软雅黑" w:cs="微软雅黑"/>
                <w:i w:val="0"/>
                <w:iCs w:val="0"/>
                <w:caps w:val="0"/>
                <w:color w:val="333333"/>
                <w:spacing w:val="0"/>
                <w:sz w:val="16"/>
                <w:szCs w:val="16"/>
                <w:shd w:val="clear" w:color="auto" w:fill="F9F9F9"/>
              </w:rPr>
              <w:t>（单位：元（RMB））</w:t>
            </w:r>
          </w:p>
        </w:tc>
        <w:tc>
          <w:tcPr>
            <w:tcW w:w="1538" w:type="pct"/>
            <w:noWrap w:val="0"/>
            <w:vAlign w:val="center"/>
          </w:tcPr>
          <w:p w14:paraId="37CA5D3A">
            <w:pPr>
              <w:jc w:val="center"/>
              <w:rPr>
                <w:rFonts w:hint="eastAsia" w:ascii="微软雅黑" w:hAnsi="微软雅黑" w:eastAsia="微软雅黑" w:cs="微软雅黑"/>
                <w:i w:val="0"/>
                <w:iCs w:val="0"/>
                <w:caps w:val="0"/>
                <w:color w:val="333333"/>
                <w:spacing w:val="0"/>
                <w:sz w:val="16"/>
                <w:szCs w:val="16"/>
                <w:shd w:val="clear" w:color="auto" w:fill="F9F9F9"/>
                <w:lang w:val="en-US" w:eastAsia="zh-CN"/>
              </w:rPr>
            </w:pPr>
            <w:r>
              <w:rPr>
                <w:rFonts w:hint="eastAsia" w:ascii="微软雅黑" w:hAnsi="微软雅黑" w:eastAsia="微软雅黑" w:cs="微软雅黑"/>
                <w:i w:val="0"/>
                <w:iCs w:val="0"/>
                <w:caps w:val="0"/>
                <w:color w:val="333333"/>
                <w:spacing w:val="0"/>
                <w:sz w:val="16"/>
                <w:szCs w:val="16"/>
                <w:shd w:val="clear" w:color="auto" w:fill="F9F9F9"/>
                <w:lang w:val="en-US" w:eastAsia="zh-CN"/>
              </w:rPr>
              <w:t>备注</w:t>
            </w:r>
          </w:p>
        </w:tc>
      </w:tr>
      <w:tr w14:paraId="1F332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noWrap w:val="0"/>
            <w:vAlign w:val="center"/>
          </w:tcPr>
          <w:p w14:paraId="61DBD112">
            <w:pPr>
              <w:jc w:val="center"/>
              <w:rPr>
                <w:rFonts w:hint="default" w:eastAsia="宋体"/>
                <w:vertAlign w:val="baseline"/>
                <w:lang w:val="en-US" w:eastAsia="zh-CN"/>
              </w:rPr>
            </w:pPr>
            <w:r>
              <w:rPr>
                <w:rFonts w:hint="eastAsia"/>
                <w:vertAlign w:val="baseline"/>
                <w:lang w:val="en-US" w:eastAsia="zh-CN"/>
              </w:rPr>
              <w:t>01</w:t>
            </w:r>
          </w:p>
        </w:tc>
        <w:tc>
          <w:tcPr>
            <w:tcW w:w="684" w:type="pct"/>
            <w:noWrap w:val="0"/>
            <w:vAlign w:val="center"/>
          </w:tcPr>
          <w:p w14:paraId="6A57F200">
            <w:pPr>
              <w:jc w:val="center"/>
              <w:rPr>
                <w:rFonts w:hint="default" w:eastAsia="宋体"/>
                <w:vertAlign w:val="baseline"/>
                <w:lang w:val="en-US" w:eastAsia="zh-CN"/>
              </w:rPr>
            </w:pPr>
            <w:r>
              <w:rPr>
                <w:rFonts w:hint="eastAsia"/>
                <w:vertAlign w:val="baseline"/>
                <w:lang w:val="en-US" w:eastAsia="zh-CN"/>
              </w:rPr>
              <w:t>申请费</w:t>
            </w:r>
          </w:p>
        </w:tc>
        <w:tc>
          <w:tcPr>
            <w:tcW w:w="896" w:type="pct"/>
            <w:noWrap w:val="0"/>
            <w:vAlign w:val="center"/>
          </w:tcPr>
          <w:p w14:paraId="3D80500C">
            <w:pPr>
              <w:jc w:val="left"/>
              <w:rPr>
                <w:rFonts w:hint="eastAsia"/>
                <w:vertAlign w:val="baseline"/>
              </w:rPr>
            </w:pPr>
            <w:r>
              <w:rPr>
                <w:rFonts w:ascii="宋体" w:hAnsi="宋体"/>
                <w:color w:val="auto"/>
                <w:szCs w:val="21"/>
              </w:rPr>
              <w:t>初次认证、扩大认证</w:t>
            </w:r>
            <w:r>
              <w:rPr>
                <w:rFonts w:hint="eastAsia" w:ascii="宋体" w:hAnsi="宋体"/>
                <w:color w:val="auto"/>
                <w:szCs w:val="21"/>
              </w:rPr>
              <w:t>范围时收取，</w:t>
            </w:r>
            <w:r>
              <w:rPr>
                <w:rFonts w:hint="eastAsia" w:ascii="宋体" w:hAnsi="宋体"/>
                <w:bCs/>
                <w:color w:val="auto"/>
                <w:szCs w:val="21"/>
              </w:rPr>
              <w:t>复评不再收取申请费</w:t>
            </w:r>
          </w:p>
        </w:tc>
        <w:tc>
          <w:tcPr>
            <w:tcW w:w="1193" w:type="pct"/>
            <w:noWrap w:val="0"/>
            <w:vAlign w:val="center"/>
          </w:tcPr>
          <w:p w14:paraId="43E2869F">
            <w:pPr>
              <w:jc w:val="center"/>
              <w:rPr>
                <w:rFonts w:hint="default" w:eastAsia="宋体"/>
                <w:vertAlign w:val="baseline"/>
                <w:lang w:val="en-US" w:eastAsia="zh-CN"/>
              </w:rPr>
            </w:pPr>
            <w:r>
              <w:rPr>
                <w:rFonts w:hint="eastAsia"/>
                <w:vertAlign w:val="baseline"/>
                <w:lang w:val="en-US" w:eastAsia="zh-CN"/>
              </w:rPr>
              <w:t>500*N</w:t>
            </w:r>
          </w:p>
        </w:tc>
        <w:tc>
          <w:tcPr>
            <w:tcW w:w="1538" w:type="pct"/>
            <w:vMerge w:val="restart"/>
            <w:noWrap w:val="0"/>
            <w:vAlign w:val="center"/>
          </w:tcPr>
          <w:p w14:paraId="0E4BED7F">
            <w:pPr>
              <w:spacing w:line="288" w:lineRule="auto"/>
              <w:rPr>
                <w:rFonts w:hint="eastAsia" w:ascii="宋体" w:hAnsi="宋体"/>
                <w:bCs/>
                <w:color w:val="auto"/>
                <w:szCs w:val="21"/>
              </w:rPr>
            </w:pPr>
            <w:r>
              <w:rPr>
                <w:rFonts w:hint="eastAsia" w:ascii="宋体" w:hAnsi="宋体"/>
                <w:bCs/>
                <w:color w:val="auto"/>
                <w:szCs w:val="21"/>
              </w:rPr>
              <w:t>1、</w:t>
            </w:r>
            <w:r>
              <w:rPr>
                <w:rFonts w:ascii="宋体" w:hAnsi="宋体"/>
                <w:bCs/>
                <w:color w:val="auto"/>
                <w:szCs w:val="21"/>
              </w:rPr>
              <w:t>n为认证领域数</w:t>
            </w:r>
            <w:r>
              <w:rPr>
                <w:rFonts w:hint="eastAsia" w:ascii="宋体" w:hAnsi="宋体"/>
                <w:bCs/>
                <w:color w:val="auto"/>
                <w:szCs w:val="21"/>
              </w:rPr>
              <w:t>；</w:t>
            </w:r>
          </w:p>
          <w:p w14:paraId="0D19497A">
            <w:pPr>
              <w:jc w:val="both"/>
              <w:rPr>
                <w:rFonts w:ascii="宋体" w:hAnsi="宋体"/>
                <w:bCs/>
                <w:color w:val="auto"/>
                <w:szCs w:val="21"/>
              </w:rPr>
            </w:pPr>
            <w:r>
              <w:rPr>
                <w:rFonts w:hint="eastAsia" w:ascii="宋体" w:hAnsi="宋体"/>
                <w:bCs/>
                <w:color w:val="auto"/>
                <w:szCs w:val="21"/>
              </w:rPr>
              <w:t>2、审核员人</w:t>
            </w:r>
            <w:r>
              <w:rPr>
                <w:rFonts w:ascii="宋体" w:hAnsi="宋体"/>
                <w:bCs/>
                <w:color w:val="auto"/>
                <w:szCs w:val="21"/>
              </w:rPr>
              <w:t>日数是指</w:t>
            </w:r>
            <w:r>
              <w:rPr>
                <w:rFonts w:hint="eastAsia" w:ascii="宋体" w:hAnsi="宋体"/>
                <w:bCs/>
                <w:color w:val="auto"/>
                <w:szCs w:val="21"/>
              </w:rPr>
              <w:t>一定数量的审核人员</w:t>
            </w:r>
            <w:r>
              <w:rPr>
                <w:rFonts w:ascii="宋体" w:hAnsi="宋体"/>
                <w:bCs/>
                <w:color w:val="auto"/>
                <w:szCs w:val="21"/>
              </w:rPr>
              <w:t>认证审核所需的工作天数（即审核员人数×工作天数）</w:t>
            </w:r>
          </w:p>
          <w:p w14:paraId="38A7A6B9">
            <w:pPr>
              <w:jc w:val="both"/>
              <w:rPr>
                <w:rFonts w:hint="eastAsia" w:ascii="宋体" w:hAnsi="宋体"/>
                <w:bCs/>
                <w:color w:val="auto"/>
                <w:szCs w:val="21"/>
                <w:lang w:val="en-US" w:eastAsia="zh-CN"/>
              </w:rPr>
            </w:pPr>
          </w:p>
        </w:tc>
      </w:tr>
      <w:tr w14:paraId="6560A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noWrap w:val="0"/>
            <w:vAlign w:val="center"/>
          </w:tcPr>
          <w:p w14:paraId="5F1493AE">
            <w:pPr>
              <w:jc w:val="center"/>
              <w:rPr>
                <w:rFonts w:hint="default" w:eastAsia="宋体"/>
                <w:vertAlign w:val="baseline"/>
                <w:lang w:val="en-US" w:eastAsia="zh-CN"/>
              </w:rPr>
            </w:pPr>
            <w:r>
              <w:rPr>
                <w:rFonts w:hint="eastAsia"/>
                <w:vertAlign w:val="baseline"/>
                <w:lang w:val="en-US" w:eastAsia="zh-CN"/>
              </w:rPr>
              <w:t>02</w:t>
            </w:r>
          </w:p>
        </w:tc>
        <w:tc>
          <w:tcPr>
            <w:tcW w:w="684" w:type="pct"/>
            <w:noWrap w:val="0"/>
            <w:vAlign w:val="center"/>
          </w:tcPr>
          <w:p w14:paraId="4885B534">
            <w:pPr>
              <w:jc w:val="center"/>
              <w:rPr>
                <w:rFonts w:hint="eastAsia" w:eastAsia="宋体"/>
                <w:vertAlign w:val="baseline"/>
                <w:lang w:val="en-US" w:eastAsia="zh-CN"/>
              </w:rPr>
            </w:pPr>
            <w:r>
              <w:rPr>
                <w:rFonts w:hint="eastAsia"/>
                <w:vertAlign w:val="baseline"/>
                <w:lang w:val="en-US" w:eastAsia="zh-CN"/>
              </w:rPr>
              <w:t>审核费</w:t>
            </w:r>
          </w:p>
        </w:tc>
        <w:tc>
          <w:tcPr>
            <w:tcW w:w="896" w:type="pct"/>
            <w:noWrap w:val="0"/>
            <w:vAlign w:val="center"/>
          </w:tcPr>
          <w:p w14:paraId="590D7AF1">
            <w:pPr>
              <w:jc w:val="left"/>
              <w:rPr>
                <w:rFonts w:hint="eastAsia"/>
                <w:vertAlign w:val="baseline"/>
              </w:rPr>
            </w:pPr>
            <w:r>
              <w:rPr>
                <w:rFonts w:ascii="宋体" w:hAnsi="宋体"/>
                <w:color w:val="auto"/>
                <w:szCs w:val="21"/>
              </w:rPr>
              <w:t>初审、监督、复评、复查的现场审核（包括多现场）以及申请组织变更和扩大认证领域、扩大认证范围审核</w:t>
            </w:r>
            <w:r>
              <w:rPr>
                <w:rFonts w:hint="eastAsia" w:ascii="宋体" w:hAnsi="宋体"/>
                <w:color w:val="auto"/>
                <w:szCs w:val="21"/>
              </w:rPr>
              <w:t>时收取</w:t>
            </w:r>
          </w:p>
        </w:tc>
        <w:tc>
          <w:tcPr>
            <w:tcW w:w="1193" w:type="pct"/>
            <w:noWrap w:val="0"/>
            <w:vAlign w:val="center"/>
          </w:tcPr>
          <w:p w14:paraId="71CB4C3C">
            <w:pPr>
              <w:jc w:val="center"/>
              <w:rPr>
                <w:rFonts w:hint="default" w:eastAsia="宋体"/>
                <w:vertAlign w:val="baseline"/>
                <w:lang w:val="en-US" w:eastAsia="zh-CN"/>
              </w:rPr>
            </w:pPr>
            <w:r>
              <w:rPr>
                <w:rFonts w:hint="eastAsia"/>
                <w:vertAlign w:val="baseline"/>
                <w:lang w:val="en-US" w:eastAsia="zh-CN"/>
              </w:rPr>
              <w:t>1000*N</w:t>
            </w:r>
          </w:p>
        </w:tc>
        <w:tc>
          <w:tcPr>
            <w:tcW w:w="1538" w:type="pct"/>
            <w:vMerge w:val="continue"/>
            <w:noWrap w:val="0"/>
            <w:vAlign w:val="center"/>
          </w:tcPr>
          <w:p w14:paraId="5D28863A">
            <w:pPr>
              <w:jc w:val="center"/>
              <w:rPr>
                <w:rFonts w:hint="eastAsia"/>
                <w:vertAlign w:val="baseline"/>
                <w:lang w:val="en-US" w:eastAsia="zh-CN"/>
              </w:rPr>
            </w:pPr>
          </w:p>
        </w:tc>
      </w:tr>
      <w:tr w14:paraId="2DBC3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noWrap w:val="0"/>
            <w:vAlign w:val="center"/>
          </w:tcPr>
          <w:p w14:paraId="4B03F887">
            <w:pPr>
              <w:jc w:val="center"/>
              <w:rPr>
                <w:rFonts w:hint="default" w:eastAsia="宋体"/>
                <w:vertAlign w:val="baseline"/>
                <w:lang w:val="en-US" w:eastAsia="zh-CN"/>
              </w:rPr>
            </w:pPr>
            <w:r>
              <w:rPr>
                <w:rFonts w:hint="eastAsia"/>
                <w:vertAlign w:val="baseline"/>
                <w:lang w:val="en-US" w:eastAsia="zh-CN"/>
              </w:rPr>
              <w:t>03</w:t>
            </w:r>
          </w:p>
        </w:tc>
        <w:tc>
          <w:tcPr>
            <w:tcW w:w="684" w:type="pct"/>
            <w:noWrap w:val="0"/>
            <w:vAlign w:val="center"/>
          </w:tcPr>
          <w:p w14:paraId="4F821B1D">
            <w:pPr>
              <w:jc w:val="center"/>
              <w:rPr>
                <w:rFonts w:hint="eastAsia"/>
                <w:vertAlign w:val="baseline"/>
              </w:rPr>
            </w:pPr>
            <w:r>
              <w:rPr>
                <w:rFonts w:ascii="微软雅黑" w:hAnsi="微软雅黑" w:eastAsia="微软雅黑" w:cs="微软雅黑"/>
                <w:i w:val="0"/>
                <w:iCs w:val="0"/>
                <w:caps w:val="0"/>
                <w:color w:val="333333"/>
                <w:spacing w:val="0"/>
                <w:sz w:val="16"/>
                <w:szCs w:val="16"/>
                <w:shd w:val="clear" w:color="auto" w:fill="F9F9F9"/>
              </w:rPr>
              <w:t>批准与注册费（含证书费）</w:t>
            </w:r>
          </w:p>
        </w:tc>
        <w:tc>
          <w:tcPr>
            <w:tcW w:w="896" w:type="pct"/>
            <w:noWrap w:val="0"/>
            <w:vAlign w:val="center"/>
          </w:tcPr>
          <w:p w14:paraId="1D5C285E">
            <w:pPr>
              <w:jc w:val="left"/>
              <w:rPr>
                <w:rFonts w:hint="eastAsia"/>
                <w:vertAlign w:val="baseline"/>
              </w:rPr>
            </w:pPr>
            <w:r>
              <w:rPr>
                <w:rFonts w:ascii="宋体" w:hAnsi="宋体"/>
                <w:color w:val="auto"/>
                <w:szCs w:val="21"/>
              </w:rPr>
              <w:t>初次认证、复评和扩大认证业务</w:t>
            </w:r>
            <w:r>
              <w:rPr>
                <w:rFonts w:hint="eastAsia" w:ascii="宋体" w:hAnsi="宋体"/>
                <w:color w:val="auto"/>
                <w:szCs w:val="21"/>
              </w:rPr>
              <w:t>范围时收取</w:t>
            </w:r>
          </w:p>
        </w:tc>
        <w:tc>
          <w:tcPr>
            <w:tcW w:w="1193" w:type="pct"/>
            <w:noWrap w:val="0"/>
            <w:vAlign w:val="center"/>
          </w:tcPr>
          <w:p w14:paraId="05AC1FD7">
            <w:pPr>
              <w:jc w:val="center"/>
              <w:rPr>
                <w:rFonts w:hint="default" w:eastAsia="宋体"/>
                <w:vertAlign w:val="baseline"/>
                <w:lang w:val="en-US" w:eastAsia="zh-CN"/>
              </w:rPr>
            </w:pPr>
            <w:r>
              <w:rPr>
                <w:rFonts w:hint="eastAsia"/>
                <w:vertAlign w:val="baseline"/>
                <w:lang w:val="en-US" w:eastAsia="zh-CN"/>
              </w:rPr>
              <w:t>200*N</w:t>
            </w:r>
          </w:p>
        </w:tc>
        <w:tc>
          <w:tcPr>
            <w:tcW w:w="1538" w:type="pct"/>
            <w:vMerge w:val="continue"/>
            <w:noWrap w:val="0"/>
            <w:vAlign w:val="center"/>
          </w:tcPr>
          <w:p w14:paraId="483DE566">
            <w:pPr>
              <w:jc w:val="center"/>
              <w:rPr>
                <w:rFonts w:hint="eastAsia"/>
                <w:vertAlign w:val="baseline"/>
                <w:lang w:val="en-US" w:eastAsia="zh-CN"/>
              </w:rPr>
            </w:pPr>
          </w:p>
        </w:tc>
      </w:tr>
      <w:tr w14:paraId="1D8D4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7" w:type="pct"/>
            <w:noWrap w:val="0"/>
            <w:vAlign w:val="center"/>
          </w:tcPr>
          <w:p w14:paraId="6358A13C">
            <w:pPr>
              <w:jc w:val="center"/>
              <w:rPr>
                <w:rFonts w:hint="default" w:eastAsia="宋体"/>
                <w:vertAlign w:val="baseline"/>
                <w:lang w:val="en-US" w:eastAsia="zh-CN"/>
              </w:rPr>
            </w:pPr>
            <w:r>
              <w:rPr>
                <w:rFonts w:hint="eastAsia"/>
                <w:vertAlign w:val="baseline"/>
                <w:lang w:val="en-US" w:eastAsia="zh-CN"/>
              </w:rPr>
              <w:t>04</w:t>
            </w:r>
          </w:p>
        </w:tc>
        <w:tc>
          <w:tcPr>
            <w:tcW w:w="684" w:type="pct"/>
            <w:noWrap w:val="0"/>
            <w:vAlign w:val="center"/>
          </w:tcPr>
          <w:p w14:paraId="50D4217D">
            <w:pPr>
              <w:jc w:val="center"/>
              <w:rPr>
                <w:rFonts w:hint="eastAsia"/>
                <w:vertAlign w:val="baseline"/>
              </w:rPr>
            </w:pPr>
            <w:r>
              <w:rPr>
                <w:rFonts w:ascii="微软雅黑" w:hAnsi="微软雅黑" w:eastAsia="微软雅黑" w:cs="微软雅黑"/>
                <w:i w:val="0"/>
                <w:iCs w:val="0"/>
                <w:caps w:val="0"/>
                <w:color w:val="333333"/>
                <w:spacing w:val="0"/>
                <w:sz w:val="16"/>
                <w:szCs w:val="16"/>
                <w:shd w:val="clear" w:color="auto" w:fill="F9F9F9"/>
              </w:rPr>
              <w:t>年金（含标志使用费）</w:t>
            </w:r>
          </w:p>
        </w:tc>
        <w:tc>
          <w:tcPr>
            <w:tcW w:w="896" w:type="pct"/>
            <w:noWrap w:val="0"/>
            <w:vAlign w:val="center"/>
          </w:tcPr>
          <w:p w14:paraId="3F1C066E">
            <w:pPr>
              <w:jc w:val="left"/>
              <w:rPr>
                <w:rFonts w:hint="eastAsia"/>
                <w:vertAlign w:val="baseline"/>
              </w:rPr>
            </w:pPr>
            <w:r>
              <w:rPr>
                <w:rFonts w:hint="eastAsia" w:ascii="宋体" w:hAnsi="宋体"/>
                <w:color w:val="auto"/>
                <w:szCs w:val="21"/>
              </w:rPr>
              <w:t>每年收取</w:t>
            </w:r>
          </w:p>
        </w:tc>
        <w:tc>
          <w:tcPr>
            <w:tcW w:w="1193" w:type="pct"/>
            <w:noWrap w:val="0"/>
            <w:vAlign w:val="center"/>
          </w:tcPr>
          <w:p w14:paraId="267FA7AC">
            <w:pPr>
              <w:jc w:val="center"/>
              <w:rPr>
                <w:rFonts w:hint="default" w:eastAsia="宋体"/>
                <w:vertAlign w:val="baseline"/>
                <w:lang w:val="en-US" w:eastAsia="zh-CN"/>
              </w:rPr>
            </w:pPr>
            <w:r>
              <w:rPr>
                <w:rFonts w:hint="eastAsia"/>
                <w:vertAlign w:val="baseline"/>
                <w:lang w:val="en-US" w:eastAsia="zh-CN"/>
              </w:rPr>
              <w:t>300*N</w:t>
            </w:r>
          </w:p>
        </w:tc>
        <w:tc>
          <w:tcPr>
            <w:tcW w:w="1538" w:type="pct"/>
            <w:vMerge w:val="continue"/>
            <w:noWrap w:val="0"/>
            <w:vAlign w:val="center"/>
          </w:tcPr>
          <w:p w14:paraId="28DE1CDA">
            <w:pPr>
              <w:jc w:val="center"/>
              <w:rPr>
                <w:rFonts w:hint="eastAsia"/>
                <w:vertAlign w:val="baseline"/>
                <w:lang w:val="en-US" w:eastAsia="zh-CN"/>
              </w:rPr>
            </w:pPr>
          </w:p>
        </w:tc>
      </w:tr>
    </w:tbl>
    <w:p w14:paraId="7E47DD59">
      <w:pPr>
        <w:rPr>
          <w:rFonts w:hint="default"/>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E7630C"/>
    <w:rsid w:val="34D23635"/>
    <w:rsid w:val="3967223F"/>
    <w:rsid w:val="55E63E5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eastAsia="宋体" w:cs="宋体"/>
      <w:b/>
      <w:bCs/>
      <w:kern w:val="44"/>
      <w:sz w:val="48"/>
      <w:szCs w:val="48"/>
      <w:lang w:val="en-US" w:eastAsia="zh-CN" w:bidi="ar"/>
    </w:rPr>
  </w:style>
  <w:style w:type="paragraph" w:styleId="3">
    <w:name w:val="heading 5"/>
    <w:basedOn w:val="1"/>
    <w:next w:val="1"/>
    <w:unhideWhenUsed/>
    <w:qFormat/>
    <w:uiPriority w:val="0"/>
    <w:pPr>
      <w:spacing w:before="100" w:beforeAutospacing="1" w:after="100" w:afterAutospacing="1"/>
      <w:jc w:val="left"/>
      <w:outlineLvl w:val="4"/>
    </w:pPr>
    <w:rPr>
      <w:rFonts w:hint="eastAsia" w:ascii="宋体" w:hAnsi="宋体" w:eastAsia="宋体" w:cs="宋体"/>
      <w:b/>
      <w:bCs/>
      <w:kern w:val="0"/>
      <w:sz w:val="20"/>
      <w:szCs w:val="20"/>
      <w:lang w:val="en-US" w:eastAsia="zh-CN" w:bidi="ar"/>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968</Words>
  <Characters>1019</Characters>
  <Lines>0</Lines>
  <Paragraphs>0</Paragraphs>
  <TotalTime>2</TotalTime>
  <ScaleCrop>false</ScaleCrop>
  <LinksUpToDate>false</LinksUpToDate>
  <CharactersWithSpaces>1037</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2025-09-05T03:52:00Z</dcterms:created>
  <dc:creator>张晋铭</dc:creator>
  <cp:lastModifiedBy>墨离</cp:lastModifiedBy>
  <dcterms:modified xsi:type="dcterms:W3CDTF">2025-09-05T04:10:51Z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eyJoZGlkIjoiN2YzNjBkOTgyNWQ1YTMxYzM3MzMwNWFiODNmOWIzYWMiLCJ1c2VySWQiOiI4MDg0NzEyODEifQ==</vt:lpwstr>
  </property>
  <property fmtid="{D5CDD505-2E9C-101B-9397-08002B2CF9AE}" pid="4" name="ICV">
    <vt:lpwstr>77A62217442E4DA9AC55FBF91FB7D23E_13</vt:lpwstr>
  </property>
</Properties>
</file>